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75C3" w14:textId="77777777" w:rsidR="00212CA9" w:rsidRPr="00767023" w:rsidRDefault="002453D3" w:rsidP="002453D3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767023">
        <w:rPr>
          <w:rFonts w:cs="Arial"/>
          <w:b/>
          <w:sz w:val="24"/>
          <w:szCs w:val="24"/>
        </w:rPr>
        <w:t xml:space="preserve">Consolidated Research Time - Policy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2453D3" w:rsidRPr="00767023" w14:paraId="764FC448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601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Reference</w:t>
            </w:r>
          </w:p>
          <w:p w14:paraId="12DF67E0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91B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Consolidated Research Time</w:t>
            </w:r>
          </w:p>
        </w:tc>
      </w:tr>
      <w:tr w:rsidR="002453D3" w:rsidRPr="00767023" w14:paraId="319CA106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630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 xml:space="preserve">Author &amp; Title </w:t>
            </w:r>
          </w:p>
          <w:p w14:paraId="7DD68F56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321F" w14:textId="3A20BB07" w:rsidR="002453D3" w:rsidRDefault="007D73CD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 w:rsidRPr="00767023">
              <w:rPr>
                <w:rFonts w:cs="Tahoma"/>
                <w:sz w:val="24"/>
                <w:szCs w:val="24"/>
              </w:rPr>
              <w:t xml:space="preserve">Professor </w:t>
            </w:r>
            <w:r w:rsidR="003B759A" w:rsidRPr="00767023">
              <w:rPr>
                <w:rFonts w:cs="Tahoma"/>
                <w:sz w:val="24"/>
                <w:szCs w:val="24"/>
              </w:rPr>
              <w:t xml:space="preserve">Kenneth Newport, </w:t>
            </w:r>
            <w:r w:rsidR="00CC6693">
              <w:rPr>
                <w:rFonts w:cs="Tahoma"/>
                <w:sz w:val="24"/>
                <w:szCs w:val="24"/>
              </w:rPr>
              <w:t xml:space="preserve">DVC </w:t>
            </w:r>
          </w:p>
          <w:p w14:paraId="2B45D8D8" w14:textId="0536E650" w:rsidR="00CC6693" w:rsidRPr="00767023" w:rsidRDefault="00CC6693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Revised and updated by: </w:t>
            </w:r>
            <w:r w:rsidR="00A85C88">
              <w:rPr>
                <w:rFonts w:cs="Tahoma"/>
                <w:sz w:val="24"/>
                <w:szCs w:val="24"/>
              </w:rPr>
              <w:t>Professor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ahoma"/>
                <w:sz w:val="24"/>
                <w:szCs w:val="24"/>
              </w:rPr>
              <w:t>Atulya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K. Nagar, PVC Research </w:t>
            </w:r>
          </w:p>
        </w:tc>
      </w:tr>
      <w:tr w:rsidR="002453D3" w:rsidRPr="00767023" w14:paraId="7D6468EA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C0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Review Date</w:t>
            </w:r>
          </w:p>
          <w:p w14:paraId="2DD9EC35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608" w14:textId="77777777" w:rsidR="002453D3" w:rsidRDefault="00767023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 w:rsidRPr="00767023">
              <w:rPr>
                <w:rFonts w:cs="Tahoma"/>
                <w:sz w:val="24"/>
                <w:szCs w:val="24"/>
              </w:rPr>
              <w:t xml:space="preserve">27 June 2018 </w:t>
            </w:r>
          </w:p>
          <w:p w14:paraId="1C477BC8" w14:textId="5C834003" w:rsidR="0075115D" w:rsidRPr="00767023" w:rsidRDefault="0075115D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27</w:t>
            </w:r>
            <w:r w:rsidRPr="00A85C88">
              <w:rPr>
                <w:rFonts w:cs="Tahoma"/>
                <w:sz w:val="24"/>
                <w:szCs w:val="24"/>
                <w:vertAlign w:val="superscript"/>
              </w:rPr>
              <w:t>th</w:t>
            </w:r>
            <w:r>
              <w:rPr>
                <w:rFonts w:cs="Tahoma"/>
                <w:sz w:val="24"/>
                <w:szCs w:val="24"/>
              </w:rPr>
              <w:t xml:space="preserve"> November 2020</w:t>
            </w:r>
          </w:p>
        </w:tc>
      </w:tr>
      <w:tr w:rsidR="002453D3" w:rsidRPr="00767023" w14:paraId="25550322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E13B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Ratified by</w:t>
            </w:r>
          </w:p>
          <w:p w14:paraId="4BE2509A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F851" w14:textId="77777777" w:rsidR="002453D3" w:rsidRPr="00767023" w:rsidRDefault="002453D3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</w:p>
        </w:tc>
      </w:tr>
      <w:tr w:rsidR="002453D3" w:rsidRPr="00767023" w14:paraId="3CCD6FEB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02AC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Ratified date</w:t>
            </w:r>
          </w:p>
          <w:p w14:paraId="698159B9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4DC" w14:textId="77777777" w:rsidR="002453D3" w:rsidRPr="00767023" w:rsidRDefault="002453D3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</w:p>
        </w:tc>
      </w:tr>
      <w:tr w:rsidR="002453D3" w:rsidRPr="00767023" w14:paraId="4B51491D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59A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Version</w:t>
            </w:r>
          </w:p>
          <w:p w14:paraId="551FB682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098" w14:textId="581EFA6C" w:rsidR="002453D3" w:rsidRPr="00767023" w:rsidRDefault="0075115D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</w:tr>
      <w:tr w:rsidR="002453D3" w:rsidRPr="00767023" w14:paraId="281B57D5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BD5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>Effective Date</w:t>
            </w:r>
          </w:p>
          <w:p w14:paraId="1D8E6C3E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366" w14:textId="52831903" w:rsidR="002453D3" w:rsidRPr="00767023" w:rsidRDefault="0075115D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December 2020</w:t>
            </w:r>
          </w:p>
        </w:tc>
      </w:tr>
      <w:tr w:rsidR="002453D3" w:rsidRPr="00767023" w14:paraId="549F907D" w14:textId="77777777" w:rsidTr="00AB2DE2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FE2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  <w:r w:rsidRPr="00767023">
              <w:rPr>
                <w:rFonts w:cs="Tahoma"/>
                <w:b/>
                <w:sz w:val="24"/>
                <w:szCs w:val="24"/>
              </w:rPr>
              <w:t xml:space="preserve">Status </w:t>
            </w:r>
          </w:p>
          <w:p w14:paraId="32D67236" w14:textId="77777777" w:rsidR="002453D3" w:rsidRPr="00767023" w:rsidRDefault="002453D3" w:rsidP="009A5CD8">
            <w:pPr>
              <w:spacing w:line="276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4AD" w14:textId="77777777" w:rsidR="002453D3" w:rsidRPr="00767023" w:rsidRDefault="002453D3" w:rsidP="009A5CD8">
            <w:pPr>
              <w:spacing w:line="276" w:lineRule="auto"/>
              <w:rPr>
                <w:rFonts w:cs="Tahoma"/>
                <w:sz w:val="24"/>
                <w:szCs w:val="24"/>
              </w:rPr>
            </w:pPr>
            <w:r w:rsidRPr="00767023">
              <w:rPr>
                <w:rFonts w:cs="Tahoma"/>
                <w:sz w:val="24"/>
                <w:szCs w:val="24"/>
              </w:rPr>
              <w:t>Policy</w:t>
            </w:r>
          </w:p>
        </w:tc>
      </w:tr>
    </w:tbl>
    <w:p w14:paraId="0876FDFB" w14:textId="77777777" w:rsidR="001C12D6" w:rsidRPr="00767023" w:rsidRDefault="001C12D6" w:rsidP="00212CA9">
      <w:pPr>
        <w:jc w:val="center"/>
        <w:rPr>
          <w:rFonts w:cs="Arial"/>
          <w:i/>
          <w:color w:val="17365D" w:themeColor="text2" w:themeShade="BF"/>
          <w:sz w:val="24"/>
          <w:szCs w:val="24"/>
        </w:rPr>
      </w:pPr>
    </w:p>
    <w:p w14:paraId="57FA2F3E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33F34C0B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17B918C4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32F7D7B8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691B7061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5CB31E77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5EA4A447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6D3F2AF5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2B5FD9D0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1733CE1E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3977084D" w14:textId="77777777" w:rsidR="002453D3" w:rsidRPr="00767023" w:rsidRDefault="002453D3" w:rsidP="00212CA9">
      <w:pPr>
        <w:jc w:val="both"/>
        <w:rPr>
          <w:rFonts w:cs="Arial"/>
          <w:sz w:val="24"/>
          <w:szCs w:val="24"/>
        </w:rPr>
      </w:pPr>
    </w:p>
    <w:p w14:paraId="26863CAE" w14:textId="77777777" w:rsidR="00AB2DE2" w:rsidRPr="00767023" w:rsidRDefault="00AB2DE2" w:rsidP="002453D3">
      <w:pPr>
        <w:rPr>
          <w:rFonts w:cs="Arial"/>
          <w:b/>
          <w:sz w:val="24"/>
          <w:szCs w:val="24"/>
        </w:rPr>
      </w:pPr>
    </w:p>
    <w:p w14:paraId="06D2965D" w14:textId="77777777" w:rsidR="00AB2DE2" w:rsidRPr="00767023" w:rsidRDefault="00AB2DE2" w:rsidP="002453D3">
      <w:pPr>
        <w:rPr>
          <w:rFonts w:cs="Arial"/>
          <w:b/>
          <w:sz w:val="24"/>
          <w:szCs w:val="24"/>
        </w:rPr>
      </w:pPr>
    </w:p>
    <w:p w14:paraId="57DF1545" w14:textId="77777777" w:rsidR="002453D3" w:rsidRPr="00767023" w:rsidRDefault="002453D3" w:rsidP="00B715FA">
      <w:pPr>
        <w:pStyle w:val="Title"/>
        <w:jc w:val="center"/>
      </w:pPr>
      <w:r w:rsidRPr="00767023">
        <w:t>Consolidated Research Time - Policy</w:t>
      </w:r>
    </w:p>
    <w:p w14:paraId="243FEDB5" w14:textId="77777777" w:rsidR="00212CA9" w:rsidRPr="00767023" w:rsidRDefault="00212CA9" w:rsidP="00212CA9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The Consolidated Research Time (CRT) scheme has been developed with the intention of making </w:t>
      </w:r>
      <w:r w:rsidR="00B715FA" w:rsidRPr="00767023">
        <w:rPr>
          <w:rFonts w:cs="Arial"/>
          <w:sz w:val="24"/>
          <w:szCs w:val="24"/>
        </w:rPr>
        <w:t>available</w:t>
      </w:r>
      <w:r w:rsidR="00B715FA">
        <w:rPr>
          <w:rFonts w:cs="Arial"/>
          <w:sz w:val="24"/>
          <w:szCs w:val="24"/>
        </w:rPr>
        <w:t>, on application,</w:t>
      </w:r>
      <w:r w:rsidR="00B715FA" w:rsidRPr="00767023">
        <w:rPr>
          <w:rFonts w:cs="Arial"/>
          <w:sz w:val="24"/>
          <w:szCs w:val="24"/>
        </w:rPr>
        <w:t xml:space="preserve"> </w:t>
      </w:r>
      <w:r w:rsidRPr="00767023">
        <w:rPr>
          <w:rFonts w:cs="Arial"/>
          <w:sz w:val="24"/>
          <w:szCs w:val="24"/>
        </w:rPr>
        <w:t>periods of between one and six weeks</w:t>
      </w:r>
      <w:r w:rsidR="00B715FA">
        <w:rPr>
          <w:rFonts w:cs="Arial"/>
          <w:sz w:val="24"/>
          <w:szCs w:val="24"/>
        </w:rPr>
        <w:t>,</w:t>
      </w:r>
      <w:r w:rsidRPr="00767023">
        <w:rPr>
          <w:rFonts w:cs="Arial"/>
          <w:sz w:val="24"/>
          <w:szCs w:val="24"/>
        </w:rPr>
        <w:t xml:space="preserve"> </w:t>
      </w:r>
      <w:r w:rsidR="00767023" w:rsidRPr="00B715FA">
        <w:rPr>
          <w:rFonts w:cs="Arial"/>
          <w:i/>
          <w:sz w:val="24"/>
          <w:szCs w:val="24"/>
        </w:rPr>
        <w:t>or</w:t>
      </w:r>
      <w:r w:rsidR="00767023">
        <w:rPr>
          <w:rFonts w:cs="Arial"/>
          <w:sz w:val="24"/>
          <w:szCs w:val="24"/>
        </w:rPr>
        <w:t xml:space="preserve"> a number of days</w:t>
      </w:r>
      <w:r w:rsidR="00B715FA">
        <w:rPr>
          <w:rFonts w:cs="Arial"/>
          <w:sz w:val="24"/>
          <w:szCs w:val="24"/>
        </w:rPr>
        <w:t xml:space="preserve"> over several weeks,</w:t>
      </w:r>
      <w:r w:rsidR="00767023">
        <w:rPr>
          <w:rFonts w:cs="Arial"/>
          <w:sz w:val="24"/>
          <w:szCs w:val="24"/>
        </w:rPr>
        <w:t xml:space="preserve"> </w:t>
      </w:r>
      <w:r w:rsidRPr="00767023">
        <w:rPr>
          <w:rFonts w:cs="Arial"/>
          <w:sz w:val="24"/>
          <w:szCs w:val="24"/>
        </w:rPr>
        <w:t xml:space="preserve">to academic colleagues so that they are able to focus on a particular and specific research project. During this period of CRT, teaching and administrative duties will be reduced to a minimum, although it is anticipated that some such duties, for example, marking or cross-making of assessments or delivering some teaching that cannot be covered in other ways, </w:t>
      </w:r>
      <w:r w:rsidR="00F16D28">
        <w:rPr>
          <w:rFonts w:cs="Arial"/>
          <w:sz w:val="24"/>
          <w:szCs w:val="24"/>
        </w:rPr>
        <w:t>may</w:t>
      </w:r>
      <w:r w:rsidRPr="00767023">
        <w:rPr>
          <w:rFonts w:cs="Arial"/>
          <w:sz w:val="24"/>
          <w:szCs w:val="24"/>
        </w:rPr>
        <w:t xml:space="preserve"> still be required.</w:t>
      </w:r>
    </w:p>
    <w:p w14:paraId="438EF2F9" w14:textId="77777777" w:rsidR="00FD0DB1" w:rsidRPr="00767023" w:rsidRDefault="006057F4" w:rsidP="00212CA9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CRT </w:t>
      </w:r>
      <w:proofErr w:type="gramStart"/>
      <w:r w:rsidRPr="00767023">
        <w:rPr>
          <w:rFonts w:cs="Arial"/>
          <w:sz w:val="24"/>
          <w:szCs w:val="24"/>
        </w:rPr>
        <w:t>can be taken</w:t>
      </w:r>
      <w:proofErr w:type="gramEnd"/>
      <w:r w:rsidRPr="00767023">
        <w:rPr>
          <w:rFonts w:cs="Arial"/>
          <w:sz w:val="24"/>
          <w:szCs w:val="24"/>
        </w:rPr>
        <w:t xml:space="preserve"> at any time of the academic year, at the </w:t>
      </w:r>
      <w:r w:rsidR="00FD0DB1" w:rsidRPr="00767023">
        <w:rPr>
          <w:rFonts w:cs="Arial"/>
          <w:sz w:val="24"/>
          <w:szCs w:val="24"/>
        </w:rPr>
        <w:t>recommendation</w:t>
      </w:r>
      <w:r w:rsidRPr="00767023">
        <w:rPr>
          <w:rFonts w:cs="Arial"/>
          <w:sz w:val="24"/>
          <w:szCs w:val="24"/>
        </w:rPr>
        <w:t xml:space="preserve"> of the Head of Department</w:t>
      </w:r>
      <w:r w:rsidR="00F16D28">
        <w:rPr>
          <w:rFonts w:cs="Arial"/>
          <w:sz w:val="24"/>
          <w:szCs w:val="24"/>
        </w:rPr>
        <w:t>/School</w:t>
      </w:r>
      <w:r w:rsidR="00FD0DB1" w:rsidRPr="00767023">
        <w:rPr>
          <w:rFonts w:cs="Arial"/>
          <w:sz w:val="24"/>
          <w:szCs w:val="24"/>
        </w:rPr>
        <w:t xml:space="preserve"> (or equivalent), who will outline a case taking into account:</w:t>
      </w:r>
    </w:p>
    <w:p w14:paraId="5E0C1977" w14:textId="77777777" w:rsidR="00FD0DB1" w:rsidRPr="00767023" w:rsidRDefault="00FD0DB1" w:rsidP="002453D3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Management of workload during the applicant’s CRT absence;</w:t>
      </w:r>
    </w:p>
    <w:p w14:paraId="1139D05C" w14:textId="77777777" w:rsidR="00FD0DB1" w:rsidRPr="00767023" w:rsidRDefault="00FD0DB1" w:rsidP="002453D3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The level and quality of the outcome;</w:t>
      </w:r>
    </w:p>
    <w:p w14:paraId="71FB2300" w14:textId="77777777" w:rsidR="00FD0DB1" w:rsidRPr="00767023" w:rsidRDefault="00FD0DB1" w:rsidP="002453D3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The potential for the proposed outcome to be completed </w:t>
      </w:r>
      <w:r w:rsidR="005B07CE" w:rsidRPr="00767023">
        <w:rPr>
          <w:rFonts w:cs="Arial"/>
          <w:sz w:val="24"/>
          <w:szCs w:val="24"/>
        </w:rPr>
        <w:t xml:space="preserve">(or significantly progressed) </w:t>
      </w:r>
      <w:r w:rsidRPr="00767023">
        <w:rPr>
          <w:rFonts w:cs="Arial"/>
          <w:sz w:val="24"/>
          <w:szCs w:val="24"/>
        </w:rPr>
        <w:t>by the end of the period of CRT.</w:t>
      </w:r>
    </w:p>
    <w:p w14:paraId="4A7A9F13" w14:textId="3779EF9B" w:rsidR="006057F4" w:rsidRPr="00767023" w:rsidRDefault="00FD0DB1" w:rsidP="00212CA9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The </w:t>
      </w:r>
      <w:r w:rsidR="00AC5FF4">
        <w:rPr>
          <w:rFonts w:cs="Arial"/>
          <w:sz w:val="24"/>
          <w:szCs w:val="24"/>
        </w:rPr>
        <w:t xml:space="preserve">Pro Vice-Chancellor (Research) </w:t>
      </w:r>
      <w:r w:rsidRPr="00767023">
        <w:rPr>
          <w:rFonts w:cs="Arial"/>
          <w:sz w:val="24"/>
          <w:szCs w:val="24"/>
        </w:rPr>
        <w:t>will consider all applications, bearing in mind both</w:t>
      </w:r>
      <w:r w:rsidR="006057F4" w:rsidRPr="00767023">
        <w:rPr>
          <w:rFonts w:cs="Arial"/>
          <w:sz w:val="24"/>
          <w:szCs w:val="24"/>
        </w:rPr>
        <w:t xml:space="preserve"> the </w:t>
      </w:r>
      <w:r w:rsidR="005B07CE" w:rsidRPr="00767023">
        <w:rPr>
          <w:rFonts w:cs="Arial"/>
          <w:sz w:val="24"/>
          <w:szCs w:val="24"/>
        </w:rPr>
        <w:t>needs</w:t>
      </w:r>
      <w:r w:rsidR="006057F4" w:rsidRPr="00767023">
        <w:rPr>
          <w:rFonts w:cs="Arial"/>
          <w:sz w:val="24"/>
          <w:szCs w:val="24"/>
        </w:rPr>
        <w:t xml:space="preserve"> of the researcher, </w:t>
      </w:r>
      <w:r w:rsidR="005B07CE" w:rsidRPr="00767023">
        <w:rPr>
          <w:rFonts w:cs="Arial"/>
          <w:sz w:val="24"/>
          <w:szCs w:val="24"/>
        </w:rPr>
        <w:t xml:space="preserve">for </w:t>
      </w:r>
      <w:proofErr w:type="gramStart"/>
      <w:r w:rsidR="005B07CE" w:rsidRPr="00767023">
        <w:rPr>
          <w:rFonts w:cs="Arial"/>
          <w:sz w:val="24"/>
          <w:szCs w:val="24"/>
        </w:rPr>
        <w:t>example</w:t>
      </w:r>
      <w:proofErr w:type="gramEnd"/>
      <w:r w:rsidR="005B07CE" w:rsidRPr="00767023">
        <w:rPr>
          <w:rFonts w:cs="Arial"/>
          <w:sz w:val="24"/>
          <w:szCs w:val="24"/>
        </w:rPr>
        <w:t xml:space="preserve"> where there is pressure to meet a</w:t>
      </w:r>
      <w:r w:rsidR="006057F4" w:rsidRPr="00767023">
        <w:rPr>
          <w:rFonts w:cs="Arial"/>
          <w:sz w:val="24"/>
          <w:szCs w:val="24"/>
        </w:rPr>
        <w:t xml:space="preserve"> publisher’s deadline, and t</w:t>
      </w:r>
      <w:r w:rsidR="005B07CE" w:rsidRPr="00767023">
        <w:rPr>
          <w:rFonts w:cs="Arial"/>
          <w:sz w:val="24"/>
          <w:szCs w:val="24"/>
        </w:rPr>
        <w:t xml:space="preserve">he demands of the academic year.  An important consideration will be the need to ensure the overall quality of the </w:t>
      </w:r>
      <w:r w:rsidR="006057F4" w:rsidRPr="00767023">
        <w:rPr>
          <w:rFonts w:cs="Arial"/>
          <w:sz w:val="24"/>
          <w:szCs w:val="24"/>
        </w:rPr>
        <w:t xml:space="preserve">student experience.  Where there are more applications for CRT than can be accommodated, colleagues can be assured that close attention </w:t>
      </w:r>
      <w:r w:rsidR="005B07CE" w:rsidRPr="00767023">
        <w:rPr>
          <w:rFonts w:cs="Arial"/>
          <w:sz w:val="24"/>
          <w:szCs w:val="24"/>
        </w:rPr>
        <w:t xml:space="preserve">will be </w:t>
      </w:r>
      <w:r w:rsidR="006057F4" w:rsidRPr="00767023">
        <w:rPr>
          <w:rFonts w:cs="Arial"/>
          <w:sz w:val="24"/>
          <w:szCs w:val="24"/>
        </w:rPr>
        <w:t xml:space="preserve">paid to fairness </w:t>
      </w:r>
      <w:r w:rsidR="005B07CE" w:rsidRPr="00767023">
        <w:rPr>
          <w:rFonts w:cs="Arial"/>
          <w:i/>
          <w:sz w:val="24"/>
          <w:szCs w:val="24"/>
        </w:rPr>
        <w:t>over a longer period,</w:t>
      </w:r>
      <w:r w:rsidR="006057F4" w:rsidRPr="00767023">
        <w:rPr>
          <w:rFonts w:cs="Arial"/>
          <w:sz w:val="24"/>
          <w:szCs w:val="24"/>
        </w:rPr>
        <w:t xml:space="preserve"> with every effort made to enable any col</w:t>
      </w:r>
      <w:r w:rsidR="005B07CE" w:rsidRPr="00767023">
        <w:rPr>
          <w:rFonts w:cs="Arial"/>
          <w:sz w:val="24"/>
          <w:szCs w:val="24"/>
        </w:rPr>
        <w:t>leagues who make</w:t>
      </w:r>
      <w:r w:rsidR="006057F4" w:rsidRPr="00767023">
        <w:rPr>
          <w:rFonts w:cs="Arial"/>
          <w:sz w:val="24"/>
          <w:szCs w:val="24"/>
        </w:rPr>
        <w:t xml:space="preserve"> a strong case for a period of CRT as soon as practicalities allow.</w:t>
      </w:r>
    </w:p>
    <w:p w14:paraId="5D358147" w14:textId="77777777" w:rsidR="006057F4" w:rsidRPr="00767023" w:rsidRDefault="006057F4" w:rsidP="002453D3">
      <w:pPr>
        <w:rPr>
          <w:rFonts w:cs="Arial"/>
          <w:b/>
          <w:sz w:val="24"/>
          <w:szCs w:val="24"/>
        </w:rPr>
      </w:pPr>
      <w:r w:rsidRPr="00767023">
        <w:rPr>
          <w:rFonts w:cs="Arial"/>
          <w:b/>
          <w:sz w:val="24"/>
          <w:szCs w:val="24"/>
        </w:rPr>
        <w:t>Criteria</w:t>
      </w:r>
    </w:p>
    <w:p w14:paraId="68AD77C7" w14:textId="77777777" w:rsidR="00212CA9" w:rsidRPr="00767023" w:rsidRDefault="006057F4" w:rsidP="00212CA9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Given the need to adopt clear and transparent criteria by which applications for CRT will be judged, </w:t>
      </w:r>
      <w:r w:rsidR="004A47E3" w:rsidRPr="00767023">
        <w:rPr>
          <w:rFonts w:cs="Arial"/>
          <w:sz w:val="24"/>
          <w:szCs w:val="24"/>
        </w:rPr>
        <w:t>the following will be taken into account in determining successful applications:-</w:t>
      </w:r>
    </w:p>
    <w:p w14:paraId="61D8F837" w14:textId="77777777" w:rsidR="004A47E3" w:rsidRPr="0076702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The quality of the research proposal;</w:t>
      </w:r>
    </w:p>
    <w:p w14:paraId="5BB73789" w14:textId="77777777" w:rsidR="004A47E3" w:rsidRPr="00767023" w:rsidRDefault="0076702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Either t</w:t>
      </w:r>
      <w:r w:rsidR="004A47E3" w:rsidRPr="00767023">
        <w:rPr>
          <w:rFonts w:cs="Arial"/>
          <w:sz w:val="24"/>
          <w:szCs w:val="24"/>
        </w:rPr>
        <w:t>he extent to which the period of CRT would bring to completion a project that is already well advanced, for example submission of a manuscript for publication</w:t>
      </w:r>
      <w:r w:rsidR="00FE2FC7" w:rsidRPr="00767023">
        <w:rPr>
          <w:rFonts w:cs="Arial"/>
          <w:sz w:val="24"/>
          <w:szCs w:val="24"/>
        </w:rPr>
        <w:t xml:space="preserve"> or other </w:t>
      </w:r>
      <w:r w:rsidR="005B07CE" w:rsidRPr="00767023">
        <w:rPr>
          <w:rFonts w:cs="Arial"/>
          <w:sz w:val="24"/>
          <w:szCs w:val="24"/>
        </w:rPr>
        <w:t>such r</w:t>
      </w:r>
      <w:r w:rsidR="00FE2FC7" w:rsidRPr="00767023">
        <w:rPr>
          <w:rFonts w:cs="Arial"/>
          <w:sz w:val="24"/>
          <w:szCs w:val="24"/>
        </w:rPr>
        <w:t>esearch output</w:t>
      </w:r>
      <w:r w:rsidR="004A47E3" w:rsidRPr="00767023">
        <w:rPr>
          <w:rFonts w:cs="Arial"/>
          <w:sz w:val="24"/>
          <w:szCs w:val="24"/>
        </w:rPr>
        <w:t>;</w:t>
      </w:r>
      <w:r w:rsidRPr="00767023">
        <w:rPr>
          <w:rFonts w:cs="Arial"/>
          <w:sz w:val="24"/>
          <w:szCs w:val="24"/>
        </w:rPr>
        <w:t xml:space="preserve"> OR</w:t>
      </w:r>
    </w:p>
    <w:p w14:paraId="1EDA6FA5" w14:textId="77777777" w:rsidR="004A47E3" w:rsidRPr="0076702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The extent to which the period of CRT would move forward significantly a colleague’s progress towards bringing a project to completion, for example</w:t>
      </w:r>
      <w:r w:rsidR="00B715FA">
        <w:rPr>
          <w:rFonts w:cs="Arial"/>
          <w:sz w:val="24"/>
          <w:szCs w:val="24"/>
        </w:rPr>
        <w:t>,</w:t>
      </w:r>
      <w:r w:rsidRPr="00767023">
        <w:rPr>
          <w:rFonts w:cs="Arial"/>
          <w:sz w:val="24"/>
          <w:szCs w:val="24"/>
        </w:rPr>
        <w:t xml:space="preserve"> </w:t>
      </w:r>
      <w:r w:rsidR="00B715FA" w:rsidRPr="00F16D28">
        <w:rPr>
          <w:rFonts w:cs="Arial"/>
          <w:sz w:val="24"/>
          <w:szCs w:val="24"/>
        </w:rPr>
        <w:t xml:space="preserve">submission of a doctoral thesis or </w:t>
      </w:r>
      <w:r w:rsidR="00F16D28">
        <w:rPr>
          <w:rFonts w:cs="Arial"/>
          <w:i/>
          <w:sz w:val="24"/>
          <w:szCs w:val="24"/>
        </w:rPr>
        <w:t xml:space="preserve">completion </w:t>
      </w:r>
      <w:r w:rsidR="00F16D28">
        <w:rPr>
          <w:rFonts w:cs="Arial"/>
          <w:sz w:val="24"/>
          <w:szCs w:val="24"/>
        </w:rPr>
        <w:t xml:space="preserve"> of </w:t>
      </w:r>
      <w:r w:rsidR="00B715FA" w:rsidRPr="00F16D28">
        <w:rPr>
          <w:rFonts w:cs="Arial"/>
          <w:sz w:val="24"/>
          <w:szCs w:val="24"/>
        </w:rPr>
        <w:t>data collection for a research project/output;</w:t>
      </w:r>
    </w:p>
    <w:p w14:paraId="3CF9BD7F" w14:textId="77777777" w:rsidR="004A47E3" w:rsidRPr="0076702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The feasibility of ensuring that the period of CRT is not overly disruptive to the smooth running of the subject area to which the colleague belongs</w:t>
      </w:r>
      <w:r w:rsidR="00596CCA" w:rsidRPr="00767023">
        <w:rPr>
          <w:rFonts w:cs="Arial"/>
          <w:sz w:val="24"/>
          <w:szCs w:val="24"/>
        </w:rPr>
        <w:t xml:space="preserve"> and to the student experience</w:t>
      </w:r>
      <w:r w:rsidRPr="00767023">
        <w:rPr>
          <w:rFonts w:cs="Arial"/>
          <w:sz w:val="24"/>
          <w:szCs w:val="24"/>
        </w:rPr>
        <w:t>;</w:t>
      </w:r>
    </w:p>
    <w:p w14:paraId="53E77F96" w14:textId="77777777" w:rsidR="004A47E3" w:rsidRPr="0076702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lastRenderedPageBreak/>
        <w:t>The overall teaching and administrative load that has been undertaken by the colleague during the current academic year;</w:t>
      </w:r>
    </w:p>
    <w:p w14:paraId="73167E26" w14:textId="77777777" w:rsidR="004A47E3" w:rsidRPr="0076702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Any other research support that has been given to the colleague over the past two years</w:t>
      </w:r>
      <w:r w:rsidR="00351B95">
        <w:rPr>
          <w:rFonts w:cs="Arial"/>
          <w:sz w:val="24"/>
          <w:szCs w:val="24"/>
        </w:rPr>
        <w:t>, and history of achieving the research targets set in the past.  (Please note that it is not possible to approve CRT if previous obligations have not been met)</w:t>
      </w:r>
      <w:r w:rsidRPr="00767023">
        <w:rPr>
          <w:rFonts w:cs="Arial"/>
          <w:sz w:val="24"/>
          <w:szCs w:val="24"/>
        </w:rPr>
        <w:t>;</w:t>
      </w:r>
    </w:p>
    <w:p w14:paraId="40F25DC8" w14:textId="77777777" w:rsidR="004A47E3" w:rsidRDefault="004A47E3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>The availability of any res</w:t>
      </w:r>
      <w:r w:rsidR="00351B95">
        <w:rPr>
          <w:rFonts w:cs="Arial"/>
          <w:sz w:val="24"/>
          <w:szCs w:val="24"/>
        </w:rPr>
        <w:t>ources required for the project;</w:t>
      </w:r>
    </w:p>
    <w:p w14:paraId="2D04A3BD" w14:textId="77777777" w:rsidR="00351B95" w:rsidRPr="00767023" w:rsidRDefault="00351B95" w:rsidP="00AB2DE2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Flexibility to take on a heavier teaching load in an alternative semester and willingness to support colleagues who also seek CRT.</w:t>
      </w:r>
    </w:p>
    <w:p w14:paraId="260A5A96" w14:textId="77777777" w:rsidR="004A47E3" w:rsidRPr="00767023" w:rsidRDefault="004A47E3" w:rsidP="002453D3">
      <w:pPr>
        <w:rPr>
          <w:rFonts w:cs="Arial"/>
          <w:b/>
          <w:sz w:val="24"/>
          <w:szCs w:val="24"/>
        </w:rPr>
      </w:pPr>
      <w:r w:rsidRPr="00767023">
        <w:rPr>
          <w:rFonts w:cs="Arial"/>
          <w:b/>
          <w:sz w:val="24"/>
          <w:szCs w:val="24"/>
        </w:rPr>
        <w:t>Applications</w:t>
      </w:r>
    </w:p>
    <w:p w14:paraId="7641E68F" w14:textId="643E6FAE" w:rsidR="004A47E3" w:rsidRPr="00767023" w:rsidRDefault="001C4A4B" w:rsidP="001C4A4B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sz w:val="24"/>
          <w:szCs w:val="24"/>
        </w:rPr>
        <w:t xml:space="preserve">Applications should be submitted on the </w:t>
      </w:r>
      <w:r w:rsidR="002453D3" w:rsidRPr="00767023">
        <w:rPr>
          <w:rFonts w:cs="Arial"/>
          <w:sz w:val="24"/>
          <w:szCs w:val="24"/>
        </w:rPr>
        <w:t xml:space="preserve">Consolidated Research Time form </w:t>
      </w:r>
      <w:r w:rsidRPr="00767023">
        <w:rPr>
          <w:rFonts w:cs="Arial"/>
          <w:sz w:val="24"/>
          <w:szCs w:val="24"/>
        </w:rPr>
        <w:t>to the Head of Department</w:t>
      </w:r>
      <w:r w:rsidR="00767023" w:rsidRPr="00767023">
        <w:rPr>
          <w:rFonts w:cs="Arial"/>
          <w:sz w:val="24"/>
          <w:szCs w:val="24"/>
        </w:rPr>
        <w:t xml:space="preserve">/School </w:t>
      </w:r>
      <w:r w:rsidRPr="00767023">
        <w:rPr>
          <w:rFonts w:cs="Arial"/>
          <w:sz w:val="24"/>
          <w:szCs w:val="24"/>
        </w:rPr>
        <w:t xml:space="preserve">(or equivalent) requesting </w:t>
      </w:r>
      <w:r w:rsidR="005B07CE" w:rsidRPr="00767023">
        <w:rPr>
          <w:rFonts w:cs="Arial"/>
          <w:sz w:val="24"/>
          <w:szCs w:val="24"/>
        </w:rPr>
        <w:t>his or her</w:t>
      </w:r>
      <w:r w:rsidR="003052E5" w:rsidRPr="00767023">
        <w:rPr>
          <w:rFonts w:cs="Arial"/>
          <w:sz w:val="24"/>
          <w:szCs w:val="24"/>
        </w:rPr>
        <w:t xml:space="preserve"> support, before being sent</w:t>
      </w:r>
      <w:r w:rsidRPr="00767023">
        <w:rPr>
          <w:rFonts w:cs="Arial"/>
          <w:sz w:val="24"/>
          <w:szCs w:val="24"/>
        </w:rPr>
        <w:t xml:space="preserve"> to the </w:t>
      </w:r>
      <w:r w:rsidR="00AC5FF4">
        <w:rPr>
          <w:rFonts w:cs="Arial"/>
          <w:sz w:val="24"/>
          <w:szCs w:val="24"/>
        </w:rPr>
        <w:t xml:space="preserve">Pro Vice-Chancellor (Research) </w:t>
      </w:r>
      <w:r w:rsidR="006C63AC">
        <w:rPr>
          <w:rFonts w:cs="Arial"/>
          <w:sz w:val="24"/>
          <w:szCs w:val="24"/>
        </w:rPr>
        <w:t>for</w:t>
      </w:r>
      <w:r w:rsidRPr="00767023">
        <w:rPr>
          <w:rFonts w:cs="Arial"/>
          <w:sz w:val="24"/>
          <w:szCs w:val="24"/>
        </w:rPr>
        <w:t xml:space="preserve"> </w:t>
      </w:r>
      <w:r w:rsidR="006C63AC" w:rsidRPr="00767023">
        <w:rPr>
          <w:rFonts w:cs="Arial"/>
          <w:sz w:val="24"/>
          <w:szCs w:val="24"/>
        </w:rPr>
        <w:t>consider</w:t>
      </w:r>
      <w:r w:rsidR="006C63AC">
        <w:rPr>
          <w:rFonts w:cs="Arial"/>
          <w:sz w:val="24"/>
          <w:szCs w:val="24"/>
        </w:rPr>
        <w:t xml:space="preserve">ation </w:t>
      </w:r>
      <w:r w:rsidRPr="00767023">
        <w:rPr>
          <w:rFonts w:cs="Arial"/>
          <w:sz w:val="24"/>
          <w:szCs w:val="24"/>
        </w:rPr>
        <w:t>and the out</w:t>
      </w:r>
      <w:r w:rsidR="003052E5" w:rsidRPr="00767023">
        <w:rPr>
          <w:rFonts w:cs="Arial"/>
          <w:sz w:val="24"/>
          <w:szCs w:val="24"/>
        </w:rPr>
        <w:t>come will be communicated to applicants</w:t>
      </w:r>
      <w:r w:rsidRPr="00767023">
        <w:rPr>
          <w:rFonts w:cs="Arial"/>
          <w:sz w:val="24"/>
          <w:szCs w:val="24"/>
        </w:rPr>
        <w:t xml:space="preserve"> via the </w:t>
      </w:r>
      <w:r w:rsidR="00CC6693">
        <w:rPr>
          <w:rFonts w:cs="Arial"/>
          <w:sz w:val="24"/>
          <w:szCs w:val="24"/>
        </w:rPr>
        <w:t>Pro Vice-Chancellor (Research)</w:t>
      </w:r>
      <w:r w:rsidRPr="00767023">
        <w:rPr>
          <w:rFonts w:cs="Arial"/>
          <w:sz w:val="24"/>
          <w:szCs w:val="24"/>
        </w:rPr>
        <w:t xml:space="preserve"> Office.  </w:t>
      </w:r>
    </w:p>
    <w:p w14:paraId="5936F362" w14:textId="257052B9" w:rsidR="001C4A4B" w:rsidRPr="00767023" w:rsidRDefault="006C63AC" w:rsidP="001C4A4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Schools/Departments should </w:t>
      </w:r>
      <w:proofErr w:type="gramStart"/>
      <w:r>
        <w:rPr>
          <w:rFonts w:cs="Arial"/>
          <w:sz w:val="24"/>
          <w:szCs w:val="24"/>
        </w:rPr>
        <w:t>make</w:t>
      </w:r>
      <w:r w:rsidR="000A77C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arrangements</w:t>
      </w:r>
      <w:proofErr w:type="gramEnd"/>
      <w:r>
        <w:rPr>
          <w:rFonts w:cs="Arial"/>
          <w:sz w:val="24"/>
          <w:szCs w:val="24"/>
        </w:rPr>
        <w:t xml:space="preserve"> for teaching </w:t>
      </w:r>
      <w:r w:rsidR="000A77CD">
        <w:rPr>
          <w:rFonts w:cs="Arial"/>
          <w:sz w:val="24"/>
          <w:szCs w:val="24"/>
        </w:rPr>
        <w:t xml:space="preserve">cover </w:t>
      </w:r>
      <w:r>
        <w:rPr>
          <w:rFonts w:cs="Arial"/>
          <w:sz w:val="24"/>
          <w:szCs w:val="24"/>
        </w:rPr>
        <w:t xml:space="preserve">by reshuffling the workload or, where applicable, fund from the devolved budgets. </w:t>
      </w:r>
      <w:r w:rsidR="001C4A4B" w:rsidRPr="00767023">
        <w:rPr>
          <w:rFonts w:cs="Arial"/>
          <w:sz w:val="24"/>
          <w:szCs w:val="24"/>
        </w:rPr>
        <w:t xml:space="preserve">Such financial support </w:t>
      </w:r>
      <w:proofErr w:type="gramStart"/>
      <w:r w:rsidR="001C4A4B" w:rsidRPr="00767023">
        <w:rPr>
          <w:rFonts w:cs="Arial"/>
          <w:sz w:val="24"/>
          <w:szCs w:val="24"/>
        </w:rPr>
        <w:t>would normally be used</w:t>
      </w:r>
      <w:proofErr w:type="gramEnd"/>
      <w:r w:rsidR="001C4A4B" w:rsidRPr="00767023">
        <w:rPr>
          <w:rFonts w:cs="Arial"/>
          <w:sz w:val="24"/>
          <w:szCs w:val="24"/>
        </w:rPr>
        <w:t xml:space="preserve"> to cover teaching and/or administrative responsibilities.</w:t>
      </w:r>
    </w:p>
    <w:p w14:paraId="2C23E51F" w14:textId="77777777" w:rsidR="001C4A4B" w:rsidRPr="00767023" w:rsidRDefault="001C4A4B" w:rsidP="002453D3">
      <w:pPr>
        <w:rPr>
          <w:rFonts w:cs="Arial"/>
          <w:b/>
          <w:sz w:val="24"/>
          <w:szCs w:val="24"/>
        </w:rPr>
      </w:pPr>
      <w:r w:rsidRPr="00767023">
        <w:rPr>
          <w:rFonts w:cs="Arial"/>
          <w:b/>
          <w:sz w:val="24"/>
          <w:szCs w:val="24"/>
        </w:rPr>
        <w:t>Outcomes</w:t>
      </w:r>
    </w:p>
    <w:p w14:paraId="7819AD07" w14:textId="49CD876C" w:rsidR="001C4A4B" w:rsidRDefault="001C4A4B" w:rsidP="00AB2DE2">
      <w:pPr>
        <w:jc w:val="both"/>
        <w:rPr>
          <w:rFonts w:cs="Arial"/>
          <w:sz w:val="24"/>
          <w:szCs w:val="24"/>
        </w:rPr>
      </w:pPr>
      <w:r w:rsidRPr="00767023">
        <w:rPr>
          <w:rFonts w:cs="Arial"/>
          <w:b/>
          <w:sz w:val="24"/>
          <w:szCs w:val="24"/>
        </w:rPr>
        <w:t xml:space="preserve">Please note that in applying for CRT all colleagues are entering into an agreement with the </w:t>
      </w:r>
      <w:r w:rsidR="00AC5FF4">
        <w:rPr>
          <w:rFonts w:cs="Arial"/>
          <w:b/>
          <w:sz w:val="24"/>
          <w:szCs w:val="24"/>
        </w:rPr>
        <w:t xml:space="preserve">University (and their School/Department) </w:t>
      </w:r>
      <w:r w:rsidRPr="00767023">
        <w:rPr>
          <w:rFonts w:cs="Arial"/>
          <w:b/>
          <w:sz w:val="24"/>
          <w:szCs w:val="24"/>
        </w:rPr>
        <w:t>and the delivery of outcomes is essential.</w:t>
      </w:r>
      <w:r w:rsidRPr="00767023">
        <w:rPr>
          <w:rFonts w:cs="Arial"/>
          <w:sz w:val="24"/>
          <w:szCs w:val="24"/>
        </w:rPr>
        <w:t xml:space="preserve">  Following any period of CRT, colleagues are required to submit a short report to the Head of Department</w:t>
      </w:r>
      <w:r w:rsidR="00767023" w:rsidRPr="00767023">
        <w:rPr>
          <w:rFonts w:cs="Arial"/>
          <w:sz w:val="24"/>
          <w:szCs w:val="24"/>
        </w:rPr>
        <w:t>/School</w:t>
      </w:r>
      <w:r w:rsidRPr="00767023">
        <w:rPr>
          <w:rFonts w:cs="Arial"/>
          <w:sz w:val="24"/>
          <w:szCs w:val="24"/>
        </w:rPr>
        <w:t xml:space="preserve"> (or equivalent) and </w:t>
      </w:r>
      <w:r w:rsidR="00CC6693">
        <w:rPr>
          <w:rFonts w:cs="Arial"/>
          <w:sz w:val="24"/>
          <w:szCs w:val="24"/>
        </w:rPr>
        <w:t>Pro Vice-Chancellor (Research)</w:t>
      </w:r>
      <w:r w:rsidRPr="00767023">
        <w:rPr>
          <w:rFonts w:cs="Arial"/>
          <w:sz w:val="24"/>
          <w:szCs w:val="24"/>
        </w:rPr>
        <w:t>, confirming that a manuscript has been submitted, for example, or progress has been made towards completion of the research project.  Feedback on the effectiveness of the CR</w:t>
      </w:r>
      <w:r w:rsidR="00AB2DE2" w:rsidRPr="00767023">
        <w:rPr>
          <w:rFonts w:cs="Arial"/>
          <w:sz w:val="24"/>
          <w:szCs w:val="24"/>
        </w:rPr>
        <w:t xml:space="preserve">T process </w:t>
      </w:r>
      <w:proofErr w:type="gramStart"/>
      <w:r w:rsidR="00AB2DE2" w:rsidRPr="00767023">
        <w:rPr>
          <w:rFonts w:cs="Arial"/>
          <w:sz w:val="24"/>
          <w:szCs w:val="24"/>
        </w:rPr>
        <w:t>may also be requested</w:t>
      </w:r>
      <w:proofErr w:type="gramEnd"/>
      <w:r w:rsidR="00AB2DE2" w:rsidRPr="00767023">
        <w:rPr>
          <w:rFonts w:cs="Arial"/>
          <w:sz w:val="24"/>
          <w:szCs w:val="24"/>
        </w:rPr>
        <w:t>.</w:t>
      </w:r>
    </w:p>
    <w:p w14:paraId="0C0FCC6C" w14:textId="77777777" w:rsidR="00F16D28" w:rsidRPr="00F16D28" w:rsidRDefault="00F16D28" w:rsidP="00AB2DE2">
      <w:pPr>
        <w:jc w:val="both"/>
        <w:rPr>
          <w:rFonts w:cs="Arial"/>
          <w:b/>
          <w:sz w:val="24"/>
          <w:szCs w:val="24"/>
        </w:rPr>
      </w:pPr>
      <w:r w:rsidRPr="00F16D28">
        <w:rPr>
          <w:rFonts w:cs="Arial"/>
          <w:b/>
          <w:sz w:val="24"/>
          <w:szCs w:val="24"/>
        </w:rPr>
        <w:t>Heads of Department/School</w:t>
      </w:r>
    </w:p>
    <w:p w14:paraId="55220DD8" w14:textId="6CD117F8" w:rsidR="00F16D28" w:rsidRPr="00767023" w:rsidRDefault="00F16D28" w:rsidP="00AB2DE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Only in exceptional circumstances may a Head of Department/School take CRT during core teaching weeks.  Any such CRT </w:t>
      </w:r>
      <w:proofErr w:type="gramStart"/>
      <w:r>
        <w:rPr>
          <w:rFonts w:cs="Arial"/>
          <w:sz w:val="24"/>
          <w:szCs w:val="24"/>
        </w:rPr>
        <w:t>can be approved</w:t>
      </w:r>
      <w:proofErr w:type="gramEnd"/>
      <w:r>
        <w:rPr>
          <w:rFonts w:cs="Arial"/>
          <w:sz w:val="24"/>
          <w:szCs w:val="24"/>
        </w:rPr>
        <w:t xml:space="preserve"> only by the PVC (</w:t>
      </w:r>
      <w:r w:rsidR="00AC5FF4">
        <w:rPr>
          <w:rFonts w:cs="Arial"/>
          <w:sz w:val="24"/>
          <w:szCs w:val="24"/>
        </w:rPr>
        <w:t>Research</w:t>
      </w:r>
      <w:r>
        <w:rPr>
          <w:rFonts w:cs="Arial"/>
          <w:sz w:val="24"/>
          <w:szCs w:val="24"/>
        </w:rPr>
        <w:t>) who will, in all cases, consult with the PVC (Student Life &amp; Learning)</w:t>
      </w:r>
      <w:r w:rsidR="00AC5FF4">
        <w:rPr>
          <w:rFonts w:cs="Arial"/>
          <w:sz w:val="24"/>
          <w:szCs w:val="24"/>
        </w:rPr>
        <w:t xml:space="preserve"> and the DVC</w:t>
      </w:r>
      <w:r>
        <w:rPr>
          <w:rFonts w:cs="Arial"/>
          <w:sz w:val="24"/>
          <w:szCs w:val="24"/>
        </w:rPr>
        <w:t>.</w:t>
      </w:r>
    </w:p>
    <w:p w14:paraId="0E803052" w14:textId="68447D2A" w:rsidR="00767023" w:rsidRPr="00767023" w:rsidRDefault="00767023" w:rsidP="00AC5FF4">
      <w:pPr>
        <w:rPr>
          <w:rFonts w:cs="Arial"/>
          <w:sz w:val="24"/>
          <w:szCs w:val="24"/>
        </w:rPr>
      </w:pPr>
    </w:p>
    <w:sectPr w:rsidR="00767023" w:rsidRPr="00767023" w:rsidSect="00AB2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710A" w14:textId="77777777" w:rsidR="003B7E36" w:rsidRDefault="003B7E36" w:rsidP="001C12D6">
      <w:pPr>
        <w:spacing w:after="0" w:line="240" w:lineRule="auto"/>
      </w:pPr>
      <w:r>
        <w:separator/>
      </w:r>
    </w:p>
  </w:endnote>
  <w:endnote w:type="continuationSeparator" w:id="0">
    <w:p w14:paraId="5C6C6D48" w14:textId="77777777" w:rsidR="003B7E36" w:rsidRDefault="003B7E36" w:rsidP="001C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258C" w14:textId="77777777" w:rsidR="005641C6" w:rsidRDefault="00564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DF16" w14:textId="3D5F7EF8" w:rsidR="009168AD" w:rsidRDefault="009168A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035080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035080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D031067" w14:textId="77777777" w:rsidR="009168AD" w:rsidRDefault="00916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6495" w14:textId="77777777" w:rsidR="005641C6" w:rsidRDefault="0056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6156" w14:textId="77777777" w:rsidR="003B7E36" w:rsidRDefault="003B7E36" w:rsidP="001C12D6">
      <w:pPr>
        <w:spacing w:after="0" w:line="240" w:lineRule="auto"/>
      </w:pPr>
      <w:r>
        <w:separator/>
      </w:r>
    </w:p>
  </w:footnote>
  <w:footnote w:type="continuationSeparator" w:id="0">
    <w:p w14:paraId="7A150250" w14:textId="77777777" w:rsidR="003B7E36" w:rsidRDefault="003B7E36" w:rsidP="001C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861D" w14:textId="77777777" w:rsidR="005641C6" w:rsidRDefault="00564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892A" w14:textId="77777777" w:rsidR="00AB2DE2" w:rsidRDefault="00AB2DE2" w:rsidP="00AB2DE2">
    <w:pPr>
      <w:pStyle w:val="Header"/>
      <w:jc w:val="right"/>
    </w:pPr>
  </w:p>
  <w:p w14:paraId="5C5CFEA0" w14:textId="77777777" w:rsidR="00096463" w:rsidRPr="00096463" w:rsidRDefault="00096463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04C3" w14:textId="77777777" w:rsidR="002453D3" w:rsidRDefault="005641C6" w:rsidP="002453D3">
    <w:pPr>
      <w:pStyle w:val="Header"/>
      <w:jc w:val="right"/>
    </w:pPr>
    <w:r w:rsidRPr="005641C6">
      <w:rPr>
        <w:rFonts w:ascii="Arial" w:hAnsi="Arial" w:cs="Arial"/>
        <w:b/>
        <w:sz w:val="28"/>
        <w:szCs w:val="28"/>
      </w:rPr>
      <w:t>SE 601</w:t>
    </w:r>
    <w:r>
      <w:tab/>
    </w:r>
    <w:r>
      <w:tab/>
    </w:r>
    <w:r w:rsidR="00767023" w:rsidRPr="00767023">
      <w:rPr>
        <w:rFonts w:ascii="Times New Roman" w:eastAsia="Times New Roman" w:hAnsi="Times New Roman"/>
        <w:noProof/>
        <w:sz w:val="24"/>
        <w:szCs w:val="20"/>
        <w:lang w:eastAsia="en-GB"/>
      </w:rPr>
      <w:drawing>
        <wp:inline distT="0" distB="0" distL="0" distR="0" wp14:anchorId="785C7747" wp14:editId="0E58CD04">
          <wp:extent cx="2038350" cy="896659"/>
          <wp:effectExtent l="0" t="0" r="0" b="0"/>
          <wp:docPr id="2" name="Picture 2" descr="Z:\HEReview\Logos\new logo Hope_Crest_CMYK_081116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HEReview\Logos\new logo Hope_Crest_CMYK_081116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138" cy="91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44DBC" w14:textId="77777777" w:rsidR="002453D3" w:rsidRDefault="00245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50"/>
      </v:shape>
    </w:pict>
  </w:numPicBullet>
  <w:abstractNum w:abstractNumId="0" w15:restartNumberingAfterBreak="0">
    <w:nsid w:val="22C06702"/>
    <w:multiLevelType w:val="hybridMultilevel"/>
    <w:tmpl w:val="15C2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16D7"/>
    <w:multiLevelType w:val="hybridMultilevel"/>
    <w:tmpl w:val="F022D5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E7FC5"/>
    <w:multiLevelType w:val="hybridMultilevel"/>
    <w:tmpl w:val="0AA6DE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5313"/>
    <w:multiLevelType w:val="hybridMultilevel"/>
    <w:tmpl w:val="95FA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3A81"/>
    <w:multiLevelType w:val="hybridMultilevel"/>
    <w:tmpl w:val="40FA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9"/>
    <w:rsid w:val="000132E8"/>
    <w:rsid w:val="00035080"/>
    <w:rsid w:val="00096463"/>
    <w:rsid w:val="000A77CD"/>
    <w:rsid w:val="001C12D6"/>
    <w:rsid w:val="001C4A4B"/>
    <w:rsid w:val="00212CA9"/>
    <w:rsid w:val="0021520B"/>
    <w:rsid w:val="002453D3"/>
    <w:rsid w:val="002A2CC4"/>
    <w:rsid w:val="002B2F97"/>
    <w:rsid w:val="002B4938"/>
    <w:rsid w:val="003052E5"/>
    <w:rsid w:val="00351B95"/>
    <w:rsid w:val="003B759A"/>
    <w:rsid w:val="003B7E36"/>
    <w:rsid w:val="004A47E3"/>
    <w:rsid w:val="005641C6"/>
    <w:rsid w:val="00596CCA"/>
    <w:rsid w:val="005B07CE"/>
    <w:rsid w:val="006057F4"/>
    <w:rsid w:val="006A4C90"/>
    <w:rsid w:val="006C63AC"/>
    <w:rsid w:val="00702FB1"/>
    <w:rsid w:val="0075115D"/>
    <w:rsid w:val="00767023"/>
    <w:rsid w:val="007D73CD"/>
    <w:rsid w:val="007E1AE4"/>
    <w:rsid w:val="008A10F5"/>
    <w:rsid w:val="00904C50"/>
    <w:rsid w:val="009168AD"/>
    <w:rsid w:val="00971479"/>
    <w:rsid w:val="00A5732E"/>
    <w:rsid w:val="00A64E4A"/>
    <w:rsid w:val="00A85C88"/>
    <w:rsid w:val="00AB2DE2"/>
    <w:rsid w:val="00AC4E58"/>
    <w:rsid w:val="00AC5FF4"/>
    <w:rsid w:val="00B715FA"/>
    <w:rsid w:val="00CA44CE"/>
    <w:rsid w:val="00CC6693"/>
    <w:rsid w:val="00E3512C"/>
    <w:rsid w:val="00ED57C9"/>
    <w:rsid w:val="00F16D28"/>
    <w:rsid w:val="00F910F0"/>
    <w:rsid w:val="00FD0DB1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E8034"/>
  <w15:docId w15:val="{010C2499-34E3-43F4-8BA7-0AA5B82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A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2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212CA9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05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A4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D6"/>
  </w:style>
  <w:style w:type="paragraph" w:styleId="Footer">
    <w:name w:val="footer"/>
    <w:basedOn w:val="Normal"/>
    <w:link w:val="FooterChar"/>
    <w:uiPriority w:val="99"/>
    <w:unhideWhenUsed/>
    <w:rsid w:val="001C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D6"/>
  </w:style>
  <w:style w:type="character" w:styleId="Hyperlink">
    <w:name w:val="Hyperlink"/>
    <w:basedOn w:val="DefaultParagraphFont"/>
    <w:uiPriority w:val="99"/>
    <w:unhideWhenUsed/>
    <w:rsid w:val="00AB2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F3B63443-01FC-4615-8242-B1CFA3A0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Kavanagh</dc:creator>
  <cp:lastModifiedBy>Lisa Mottram</cp:lastModifiedBy>
  <cp:revision>2</cp:revision>
  <cp:lastPrinted>2018-06-21T15:22:00Z</cp:lastPrinted>
  <dcterms:created xsi:type="dcterms:W3CDTF">2021-02-19T11:17:00Z</dcterms:created>
  <dcterms:modified xsi:type="dcterms:W3CDTF">2021-02-19T11:17:00Z</dcterms:modified>
</cp:coreProperties>
</file>